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55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spacing w:before="429" w:line="219" w:lineRule="auto"/>
        <w:outlineLvl w:val="0"/>
        <w:jc w:val="right"/>
        <w:rPr>
          <w:rFonts w:ascii="SimSun" w:hAnsi="SimSun" w:eastAsia="SimSun" w:cs="SimSun"/>
          <w:sz w:val="132"/>
          <w:szCs w:val="132"/>
        </w:rPr>
      </w:pPr>
      <w:r>
        <w:rPr>
          <w:rFonts w:ascii="SimSun" w:hAnsi="SimSun" w:eastAsia="SimSun" w:cs="SimSun"/>
          <w:sz w:val="132"/>
          <w:szCs w:val="132"/>
          <w:b/>
          <w:bCs/>
          <w:color w:val="E60007"/>
          <w:spacing w:val="-41"/>
          <w:w w:val="37"/>
        </w:rPr>
        <w:t>淮北市推进建筑业高质量发展领导小组文件</w:t>
      </w: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229"/>
        <w:spacing w:before="114" w:line="220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6"/>
        </w:rPr>
        <w:t>淮建发〔2024〕2号</w:t>
      </w:r>
    </w:p>
    <w:p>
      <w:pPr>
        <w:spacing w:before="177" w:line="60" w:lineRule="exact"/>
        <w:rPr/>
      </w:pPr>
      <w:r>
        <w:rPr>
          <w:position w:val="-1"/>
        </w:rPr>
        <w:drawing>
          <wp:inline distT="0" distB="0" distL="0" distR="0">
            <wp:extent cx="5670499" cy="3813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499" cy="3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06" w:right="700" w:hanging="1110"/>
        <w:spacing w:before="152" w:line="222" w:lineRule="auto"/>
        <w:rPr>
          <w:rFonts w:ascii="FangSong" w:hAnsi="FangSong" w:eastAsia="FangSong" w:cs="FangSong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6"/>
        </w:rPr>
        <w:t>关于印发《淮北市工程造价咨询业监督</w:t>
      </w:r>
      <w:r>
        <w:rPr>
          <w:rFonts w:ascii="SimSun" w:hAnsi="SimSun" w:eastAsia="SimSun" w:cs="SimSun"/>
          <w:sz w:val="47"/>
          <w:szCs w:val="47"/>
          <w:spacing w:val="10"/>
        </w:rPr>
        <w:t xml:space="preserve"> </w:t>
      </w:r>
      <w:r>
        <w:rPr>
          <w:rFonts w:ascii="FangSong" w:hAnsi="FangSong" w:eastAsia="FangSong" w:cs="FangSong"/>
          <w:sz w:val="47"/>
          <w:szCs w:val="47"/>
          <w:b/>
          <w:bCs/>
          <w:spacing w:val="6"/>
        </w:rPr>
        <w:t>管理办法(试行)》的通知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169"/>
        <w:spacing w:before="118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42"/>
        </w:rPr>
        <w:t>滩溪县、各区人民政府，市政府各部门，各直属机构：</w:t>
      </w:r>
    </w:p>
    <w:p>
      <w:pPr>
        <w:ind w:left="179" w:firstLine="590"/>
        <w:spacing w:before="138" w:line="301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27"/>
        </w:rPr>
        <w:t>《淮北市工程造价咨询业监督管理办法(试行)》已经市政</w:t>
      </w:r>
      <w:r>
        <w:rPr>
          <w:rFonts w:ascii="FangSong" w:hAnsi="FangSong" w:eastAsia="FangSong" w:cs="FangSong"/>
          <w:sz w:val="36"/>
          <w:szCs w:val="36"/>
          <w:spacing w:val="1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41"/>
        </w:rPr>
        <w:t>府同意，现印发给你们，请认真贯彻执行。</w:t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5258" w:right="313" w:hanging="939"/>
        <w:spacing w:before="118" w:line="292" w:lineRule="auto"/>
        <w:rPr>
          <w:rFonts w:ascii="FangSong" w:hAnsi="FangSong" w:eastAsia="FangSong" w:cs="FangSong"/>
          <w:sz w:val="40"/>
          <w:szCs w:val="4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3403265</wp:posOffset>
            </wp:positionH>
            <wp:positionV relativeFrom="paragraph">
              <wp:posOffset>-497335</wp:posOffset>
            </wp:positionV>
            <wp:extent cx="1524405" cy="152429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405" cy="152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6"/>
          <w:szCs w:val="36"/>
          <w:spacing w:val="-18"/>
        </w:rPr>
        <w:t>淮北市住房和城乡建设局(代)</w:t>
      </w:r>
      <w:r>
        <w:rPr>
          <w:rFonts w:ascii="FangSong" w:hAnsi="FangSong" w:eastAsia="FangSong" w:cs="FangSong"/>
          <w:sz w:val="36"/>
          <w:szCs w:val="36"/>
          <w:spacing w:val="7"/>
        </w:rPr>
        <w:t xml:space="preserve"> </w:t>
      </w:r>
      <w:r>
        <w:rPr>
          <w:rFonts w:ascii="FangSong" w:hAnsi="FangSong" w:eastAsia="FangSong" w:cs="FangSong"/>
          <w:sz w:val="40"/>
          <w:szCs w:val="40"/>
          <w:spacing w:val="-2"/>
        </w:rPr>
        <w:t>2024年5月7日</w:t>
      </w:r>
    </w:p>
    <w:p>
      <w:pPr>
        <w:spacing w:line="292" w:lineRule="auto"/>
        <w:sectPr>
          <w:footerReference w:type="default" r:id="rId1"/>
          <w:pgSz w:w="11870" w:h="16730"/>
          <w:pgMar w:top="1422" w:right="1309" w:bottom="1521" w:left="1490" w:header="0" w:footer="1222" w:gutter="0"/>
        </w:sectPr>
        <w:rPr>
          <w:rFonts w:ascii="FangSong" w:hAnsi="FangSong" w:eastAsia="FangSong" w:cs="FangSong"/>
          <w:sz w:val="40"/>
          <w:szCs w:val="40"/>
        </w:rPr>
      </w:pPr>
    </w:p>
    <w:p>
      <w:pPr>
        <w:pStyle w:val="BodyText"/>
        <w:spacing w:line="417" w:lineRule="auto"/>
        <w:rPr/>
      </w:pPr>
      <w:r/>
    </w:p>
    <w:p>
      <w:pPr>
        <w:ind w:left="86"/>
        <w:spacing w:before="146" w:line="218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"/>
        </w:rPr>
        <w:t>淮北市工程造价咨询业监督管理办法(试行)</w:t>
      </w: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346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</w:rPr>
        <w:t>第一章</w:t>
      </w:r>
      <w:r>
        <w:rPr>
          <w:rFonts w:ascii="SimHei" w:hAnsi="SimHei" w:eastAsia="SimHei" w:cs="SimHei"/>
          <w:sz w:val="32"/>
          <w:szCs w:val="32"/>
          <w:spacing w:val="22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</w:rPr>
        <w:t>总则</w:t>
      </w:r>
    </w:p>
    <w:p>
      <w:pPr>
        <w:ind w:right="16" w:firstLine="680"/>
        <w:spacing w:before="21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第一条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为加强对淮北市工程造价咨询业造价活动进行监督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和管理，建立公开、公平、公正、规范的工程造价咨询市场，根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据《工程造价咨询企业管理办法》(建设部令14</w:t>
      </w:r>
      <w:r>
        <w:rPr>
          <w:rFonts w:ascii="FangSong" w:hAnsi="FangSong" w:eastAsia="FangSong" w:cs="FangSong"/>
          <w:sz w:val="32"/>
          <w:szCs w:val="32"/>
          <w:spacing w:val="13"/>
        </w:rPr>
        <w:t>9号)、《注册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造价工程师管理办法》(建设部令150号)、《安徽省</w:t>
      </w:r>
      <w:r>
        <w:rPr>
          <w:rFonts w:ascii="FangSong" w:hAnsi="FangSong" w:eastAsia="FangSong" w:cs="FangSong"/>
          <w:sz w:val="32"/>
          <w:szCs w:val="32"/>
          <w:spacing w:val="13"/>
        </w:rPr>
        <w:t>建设工程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造价管理条例》、《安徽省工程造价咨询业信用信息管理办法》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等法律法规，结合我市实际，制定本办法。</w:t>
      </w:r>
    </w:p>
    <w:p>
      <w:pPr>
        <w:ind w:right="36" w:firstLine="680"/>
        <w:spacing w:before="26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第二条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在淮北市行政区域内从事工程造价咨询业务活动，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实施对造价咨询企业和注册造价工程师的监督管理，适用本办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法。</w:t>
      </w:r>
    </w:p>
    <w:p>
      <w:pPr>
        <w:ind w:right="14" w:firstLine="680"/>
        <w:spacing w:before="50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第三条淮北市住房和城乡建设局负责全市工程造价咨询活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动的监督管理，指导和规范全市工程造价咨询业的发展。</w:t>
      </w:r>
    </w:p>
    <w:p>
      <w:pPr>
        <w:ind w:right="7"/>
        <w:spacing w:before="32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各县、区人民政府具体负责本行政区域内工程造价咨询业的</w:t>
      </w:r>
    </w:p>
    <w:p>
      <w:pPr>
        <w:spacing w:before="220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监督管理工作。</w:t>
      </w:r>
    </w:p>
    <w:p>
      <w:pPr>
        <w:spacing w:before="196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市发展改革、财政、审计、公管等部门按照各自职责做好建</w:t>
      </w:r>
    </w:p>
    <w:p>
      <w:pPr>
        <w:spacing w:before="20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设工程造价管理监督的相关工作。</w:t>
      </w:r>
    </w:p>
    <w:p>
      <w:pPr>
        <w:ind w:right="15" w:firstLine="680"/>
        <w:spacing w:before="201" w:line="33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第四条建设单位应优先选择信用等级良好的造价咨询企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业，并同造价咨询企业签订规范的建设工程造价咨询合同，承担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合同履约管理的主体责任。</w:t>
      </w:r>
    </w:p>
    <w:p>
      <w:pPr>
        <w:spacing w:line="337" w:lineRule="auto"/>
        <w:sectPr>
          <w:footerReference w:type="default" r:id="rId4"/>
          <w:pgSz w:w="11860" w:h="16730"/>
          <w:pgMar w:top="1422" w:right="1482" w:bottom="1514" w:left="1450" w:header="0" w:footer="119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3274"/>
        <w:spacing w:before="1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5"/>
        </w:rPr>
        <w:t>第二章监督管理</w:t>
      </w:r>
    </w:p>
    <w:p>
      <w:pPr>
        <w:ind w:right="17" w:firstLine="659"/>
        <w:spacing w:before="205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第五条在淮开展工程造价咨询活动的企业应当具备与</w:t>
      </w:r>
      <w:r>
        <w:rPr>
          <w:rFonts w:ascii="FangSong" w:hAnsi="FangSong" w:eastAsia="FangSong" w:cs="FangSong"/>
          <w:sz w:val="32"/>
          <w:szCs w:val="32"/>
          <w:spacing w:val="9"/>
        </w:rPr>
        <w:t>承接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业务相匹配的能力和注册造价工程师，依法依规从事工程造价咨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询活动。</w:t>
      </w:r>
    </w:p>
    <w:p>
      <w:pPr>
        <w:ind w:right="18" w:firstLine="664"/>
        <w:spacing w:before="57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5"/>
        </w:rPr>
        <w:t>第六条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外省(市)工程造价咨询企业在淮北市行政区域内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承接工程造价咨询业务时应登录“安徽省工程造价咨询业信用信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息管理系统”进行信息登记，主要包括企业信息、项目</w:t>
      </w:r>
      <w:r>
        <w:rPr>
          <w:rFonts w:ascii="FangSong" w:hAnsi="FangSong" w:eastAsia="FangSong" w:cs="FangSong"/>
          <w:sz w:val="32"/>
          <w:szCs w:val="32"/>
          <w:spacing w:val="-15"/>
        </w:rPr>
        <w:t>信息、人员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信息等。</w:t>
      </w:r>
    </w:p>
    <w:p>
      <w:pPr>
        <w:ind w:left="664"/>
        <w:spacing w:before="54" w:line="221" w:lineRule="auto"/>
        <w:outlineLvl w:val="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第七条工程造价咨询企业不得有下列行为：</w:t>
      </w:r>
    </w:p>
    <w:p>
      <w:pPr>
        <w:ind w:left="789"/>
        <w:spacing w:before="20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(一)提供虚假入淮信息的；</w:t>
      </w:r>
    </w:p>
    <w:p>
      <w:pPr>
        <w:ind w:right="18" w:firstLine="789"/>
        <w:spacing w:before="203" w:line="28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(二)同时接受招标人和投标人或两个以上投标人对同一工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程项目的工程造价咨询业务的；</w:t>
      </w:r>
    </w:p>
    <w:p>
      <w:pPr>
        <w:ind w:firstLine="789"/>
        <w:spacing w:before="183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(三)以给予回扣、恶意压低收费或收费明显低于经营成本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或以贿赂行为等方式进行不正当竞争的；</w:t>
      </w:r>
    </w:p>
    <w:p>
      <w:pPr>
        <w:ind w:right="17" w:firstLine="789"/>
        <w:spacing w:before="184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(四)将承接的工程造价咨询业务转包的，在淮承接造价咨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询业务在检查中未如实填报相关信息的；</w:t>
      </w:r>
    </w:p>
    <w:p>
      <w:pPr>
        <w:ind w:right="16" w:firstLine="789"/>
        <w:spacing w:before="180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(五)在淮负责人、在淮技术负责人、注册造价工程师、在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淮办公场所等变化不及时变更的；</w:t>
      </w:r>
    </w:p>
    <w:p>
      <w:pPr>
        <w:ind w:right="8" w:firstLine="789"/>
        <w:spacing w:before="182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(六)未按本办法要求及时进行基本信息登记和业务登记的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或者报送虚假信息的；</w:t>
      </w:r>
    </w:p>
    <w:p>
      <w:pPr>
        <w:ind w:right="18" w:firstLine="789"/>
        <w:spacing w:before="172" w:line="28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(七)故意抬高或压低工程造价的，工程造价咨询成果文件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经有关部门复核审查发现存在重大质量缺陷，误差率超过标准或</w:t>
      </w:r>
    </w:p>
    <w:p>
      <w:pPr>
        <w:spacing w:line="287" w:lineRule="auto"/>
        <w:sectPr>
          <w:footerReference w:type="default" r:id="rId5"/>
          <w:pgSz w:w="11850" w:h="16680"/>
          <w:pgMar w:top="1417" w:right="1280" w:bottom="1486" w:left="1640" w:header="0" w:footer="1169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合同约定的；</w:t>
      </w:r>
    </w:p>
    <w:p>
      <w:pPr>
        <w:ind w:left="770"/>
        <w:spacing w:before="168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(八)出具有虚假记载、误导性陈述造价咨</w:t>
      </w:r>
      <w:r>
        <w:rPr>
          <w:rFonts w:ascii="FangSong" w:hAnsi="FangSong" w:eastAsia="FangSong" w:cs="FangSong"/>
          <w:sz w:val="33"/>
          <w:szCs w:val="33"/>
          <w:spacing w:val="-8"/>
        </w:rPr>
        <w:t>询成果文件的；</w:t>
      </w:r>
    </w:p>
    <w:p>
      <w:pPr>
        <w:ind w:left="770"/>
        <w:spacing w:before="185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(九)泄露在咨询服务活动中获取商业秘密</w:t>
      </w:r>
      <w:r>
        <w:rPr>
          <w:rFonts w:ascii="FangSong" w:hAnsi="FangSong" w:eastAsia="FangSong" w:cs="FangSong"/>
          <w:sz w:val="33"/>
          <w:szCs w:val="33"/>
          <w:spacing w:val="-8"/>
        </w:rPr>
        <w:t>和技术秘密的；</w:t>
      </w:r>
    </w:p>
    <w:p>
      <w:pPr>
        <w:ind w:right="93" w:firstLine="770"/>
        <w:spacing w:before="188" w:line="29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(十)国有投资项目在招投标后财政预算评审时和办理竣工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结算时，造价咨询机构不依照项目招标文件实质性条款或施工合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同相关约定编制或审核的；</w:t>
      </w:r>
    </w:p>
    <w:p>
      <w:pPr>
        <w:ind w:right="113" w:firstLine="770"/>
        <w:spacing w:before="215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(十一)仲裁委或法院委托的建设工程造价鉴定项目，造价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咨询机构不依据相关规定进行鉴定的；</w:t>
      </w:r>
    </w:p>
    <w:p>
      <w:pPr>
        <w:ind w:left="770"/>
        <w:spacing w:before="5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(十二)法律、法规、规章和规范禁止的其他行为。</w:t>
      </w:r>
    </w:p>
    <w:p>
      <w:pPr>
        <w:ind w:firstLine="690"/>
        <w:spacing w:before="219" w:line="30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第八条注册造价工程师应当按有关规定取得造价工程师注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册证书和执业印章，并按照国家、省和市有关规定开</w:t>
      </w:r>
      <w:r>
        <w:rPr>
          <w:rFonts w:ascii="FangSong" w:hAnsi="FangSong" w:eastAsia="FangSong" w:cs="FangSong"/>
          <w:sz w:val="33"/>
          <w:szCs w:val="33"/>
          <w:spacing w:val="-21"/>
        </w:rPr>
        <w:t>展执业活动。</w:t>
      </w:r>
    </w:p>
    <w:p>
      <w:pPr>
        <w:ind w:left="679"/>
        <w:spacing w:before="62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第九条注册造价工程师不得有下列行为：</w:t>
      </w:r>
    </w:p>
    <w:p>
      <w:pPr>
        <w:ind w:right="112" w:firstLine="770"/>
        <w:spacing w:before="213" w:line="27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(一)提供虚假入淮信息的，签署有虚假记载或误导性陈述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的造价成果文件的；</w:t>
      </w:r>
    </w:p>
    <w:p>
      <w:pPr>
        <w:ind w:right="114" w:firstLine="770"/>
        <w:spacing w:before="211" w:line="27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(二)以个人名义承接造价业务，允许他人以本人的名义从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事造价业务，或者冒用他人的名义签署造价成果文件的；</w:t>
      </w:r>
    </w:p>
    <w:p>
      <w:pPr>
        <w:ind w:left="770"/>
        <w:spacing w:before="18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(三)同时在两个或者两个以上单位执业的；</w:t>
      </w:r>
    </w:p>
    <w:p>
      <w:pPr>
        <w:ind w:right="143" w:firstLine="770"/>
        <w:spacing w:before="197" w:line="28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(四)涂改、倒卖、出租、出借或者以其他形式非法转让注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册证书、执业印章的；</w:t>
      </w:r>
    </w:p>
    <w:p>
      <w:pPr>
        <w:ind w:left="770"/>
        <w:spacing w:before="18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(五)泄露在执业中获取的商业秘密和技术秘密的；</w:t>
      </w:r>
    </w:p>
    <w:p>
      <w:pPr>
        <w:ind w:left="770"/>
        <w:spacing w:before="220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(六)法律、法规、规章和规范禁止的其他行为。</w:t>
      </w:r>
    </w:p>
    <w:p>
      <w:pPr>
        <w:spacing w:line="221" w:lineRule="auto"/>
        <w:sectPr>
          <w:footerReference w:type="default" r:id="rId6"/>
          <w:pgSz w:w="11830" w:h="16730"/>
          <w:pgMar w:top="1422" w:right="1424" w:bottom="1531" w:left="1419" w:header="0" w:footer="120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328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4"/>
        </w:rPr>
        <w:t>第三章动态核查</w:t>
      </w:r>
    </w:p>
    <w:p>
      <w:pPr>
        <w:ind w:right="52" w:firstLine="660"/>
        <w:spacing w:before="192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第十条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监督管理部门应当对建设工程项目估算、概算、预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算、结算等进行监督检查，依法记录工程造价咨询企业、</w:t>
      </w:r>
      <w:r>
        <w:rPr>
          <w:rFonts w:ascii="FangSong" w:hAnsi="FangSong" w:eastAsia="FangSong" w:cs="FangSong"/>
          <w:sz w:val="32"/>
          <w:szCs w:val="32"/>
          <w:spacing w:val="-3"/>
        </w:rPr>
        <w:t>注册造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价工程师的基本情况、违法处理结果等，及时纳入市场主体信用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信息系统，供公众查询使用，对发现的问题及时纠正处理。</w:t>
      </w:r>
    </w:p>
    <w:p>
      <w:pPr>
        <w:ind w:left="660"/>
        <w:spacing w:before="8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监督管理部门依照本办法，可采取下列措施：</w:t>
      </w:r>
    </w:p>
    <w:p>
      <w:pPr>
        <w:ind w:right="129" w:firstLine="789"/>
        <w:spacing w:before="193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(一)查询工程造价咨询企业在淮开展造价咨询业务情况，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并核对相关信息；</w:t>
      </w:r>
    </w:p>
    <w:p>
      <w:pPr>
        <w:ind w:right="129" w:firstLine="789"/>
        <w:spacing w:before="177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(二)要求被检查企业提供有关工程造价咨询业务的文档，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有关技术档案管理制度、质量控制制度、财务管理制度的文件；</w:t>
      </w:r>
    </w:p>
    <w:p>
      <w:pPr>
        <w:ind w:right="85" w:firstLine="789"/>
        <w:spacing w:before="204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(三)进入被检查企业进行检查，查阅工程造价咨询成果文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件以及工程造价咨询合同等相关资料；</w:t>
      </w:r>
    </w:p>
    <w:p>
      <w:pPr>
        <w:ind w:left="789"/>
        <w:spacing w:before="23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(四)就有关问题询问签署文件的人员；</w:t>
      </w:r>
    </w:p>
    <w:p>
      <w:pPr>
        <w:ind w:right="70" w:firstLine="789"/>
        <w:spacing w:before="180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(五)要求改正违反有关法律、法规或者工程建设强制</w:t>
      </w:r>
      <w:r>
        <w:rPr>
          <w:rFonts w:ascii="FangSong" w:hAnsi="FangSong" w:eastAsia="FangSong" w:cs="FangSong"/>
          <w:sz w:val="32"/>
          <w:szCs w:val="32"/>
          <w:spacing w:val="4"/>
        </w:rPr>
        <w:t>性标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准的行为。</w:t>
      </w:r>
    </w:p>
    <w:p>
      <w:pPr>
        <w:ind w:right="60" w:firstLine="660"/>
        <w:spacing w:before="182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第十一条工程造价咨询企业和注册造价工程师应当接受监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督管理部门监督检查，如实提供相关资料，不得拒绝、</w:t>
      </w:r>
      <w:r>
        <w:rPr>
          <w:rFonts w:ascii="FangSong" w:hAnsi="FangSong" w:eastAsia="FangSong" w:cs="FangSong"/>
          <w:sz w:val="32"/>
          <w:szCs w:val="32"/>
          <w:spacing w:val="-2"/>
        </w:rPr>
        <w:t>延误、阻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扰、逃避检查，不得谎报、隐匿、销毁相关资料。</w:t>
      </w:r>
    </w:p>
    <w:p>
      <w:pPr>
        <w:ind w:right="78" w:firstLine="660"/>
        <w:spacing w:before="29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第十二条监督管理部门按照“双随机、一公开”的方式，对已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登记信用信息的工程造价咨询企业进行检查，根据工作</w:t>
      </w:r>
      <w:r>
        <w:rPr>
          <w:rFonts w:ascii="FangSong" w:hAnsi="FangSong" w:eastAsia="FangSong" w:cs="FangSong"/>
          <w:sz w:val="32"/>
          <w:szCs w:val="32"/>
          <w:spacing w:val="-4"/>
        </w:rPr>
        <w:t>情况开展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专项检查，及时将检查情况和结果向社会公布，接受社会监督。</w:t>
      </w:r>
    </w:p>
    <w:p>
      <w:pPr>
        <w:ind w:left="660"/>
        <w:spacing w:before="4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4"/>
        </w:rPr>
        <w:t>第十三条工程造价咨询企业根据信用情况实行差异</w:t>
      </w:r>
      <w:r>
        <w:rPr>
          <w:rFonts w:ascii="FangSong" w:hAnsi="FangSong" w:eastAsia="FangSong" w:cs="FangSong"/>
          <w:sz w:val="32"/>
          <w:szCs w:val="32"/>
          <w:spacing w:val="23"/>
        </w:rPr>
        <w:t>化管</w:t>
      </w:r>
    </w:p>
    <w:p>
      <w:pPr>
        <w:spacing w:line="221" w:lineRule="auto"/>
        <w:sectPr>
          <w:footerReference w:type="default" r:id="rId7"/>
          <w:pgSz w:w="11860" w:h="16730"/>
          <w:pgMar w:top="1422" w:right="1220" w:bottom="1502" w:left="1649" w:header="0" w:footer="118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理。具有以下情形的，应当加强监督。</w:t>
      </w:r>
    </w:p>
    <w:p>
      <w:pPr>
        <w:ind w:left="754"/>
        <w:spacing w:before="205" w:line="222" w:lineRule="auto"/>
        <w:outlineLvl w:val="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(一)以不正当方式承揽业务的；</w:t>
      </w:r>
    </w:p>
    <w:p>
      <w:pPr>
        <w:ind w:left="754"/>
        <w:spacing w:before="192" w:line="222" w:lineRule="auto"/>
        <w:outlineLvl w:val="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(二)有失信信息记录的；</w:t>
      </w:r>
    </w:p>
    <w:p>
      <w:pPr>
        <w:ind w:left="754"/>
        <w:spacing w:before="207" w:line="222" w:lineRule="auto"/>
        <w:outlineLvl w:val="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(三)被投诉或者被举报且被查实的；</w:t>
      </w:r>
    </w:p>
    <w:p>
      <w:pPr>
        <w:ind w:left="754"/>
        <w:spacing w:before="192" w:line="222" w:lineRule="auto"/>
        <w:outlineLvl w:val="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2"/>
        </w:rPr>
        <w:t>(四)其他需要实施严格监管情形的。</w:t>
      </w:r>
    </w:p>
    <w:p>
      <w:pPr>
        <w:ind w:left="664"/>
        <w:spacing w:before="188" w:line="222" w:lineRule="auto"/>
        <w:outlineLvl w:val="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第十四条使用国有资金的建设工程，应当依法依规接受审</w:t>
      </w:r>
    </w:p>
    <w:p>
      <w:pPr>
        <w:spacing w:before="23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计监督和财政监督。</w:t>
      </w:r>
    </w:p>
    <w:p>
      <w:pPr>
        <w:ind w:right="89" w:firstLine="660"/>
        <w:spacing w:before="181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第十五条任何单位和个人对工程造价咨询企业和注册造价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工程师违反建设工程造价管理规定的行为，有权向监督</w:t>
      </w:r>
      <w:r>
        <w:rPr>
          <w:rFonts w:ascii="FangSong" w:hAnsi="FangSong" w:eastAsia="FangSong" w:cs="FangSong"/>
          <w:sz w:val="32"/>
          <w:szCs w:val="32"/>
          <w:spacing w:val="-4"/>
        </w:rPr>
        <w:t>管理部门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投诉、举报；各监督管理部门应当建立投诉举</w:t>
      </w:r>
      <w:r>
        <w:rPr>
          <w:rFonts w:ascii="FangSong" w:hAnsi="FangSong" w:eastAsia="FangSong" w:cs="FangSong"/>
          <w:sz w:val="32"/>
          <w:szCs w:val="32"/>
          <w:spacing w:val="-4"/>
        </w:rPr>
        <w:t>报平台，依法受理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和查处。</w:t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3204"/>
        <w:spacing w:before="10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5"/>
        </w:rPr>
        <w:t>第四章责任追究</w:t>
      </w:r>
    </w:p>
    <w:p>
      <w:pPr>
        <w:ind w:firstLine="750"/>
        <w:spacing w:before="213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第十六条工程造价咨询企业有违反本办法第七条规定的，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注册造价工程师有违反第九条规定的，监督管理部门会同有关执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法部门将依法给予行政处罚或行政处理，并</w:t>
      </w:r>
      <w:r>
        <w:rPr>
          <w:rFonts w:ascii="FangSong" w:hAnsi="FangSong" w:eastAsia="FangSong" w:cs="FangSong"/>
          <w:sz w:val="32"/>
          <w:szCs w:val="32"/>
          <w:spacing w:val="-5"/>
        </w:rPr>
        <w:t>将结果纳入企业不良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行为记录和诚信评价管理，涉及市外造价咨</w:t>
      </w:r>
      <w:r>
        <w:rPr>
          <w:rFonts w:ascii="FangSong" w:hAnsi="FangSong" w:eastAsia="FangSong" w:cs="FangSong"/>
          <w:sz w:val="32"/>
          <w:szCs w:val="32"/>
          <w:spacing w:val="-5"/>
        </w:rPr>
        <w:t>询企业的，通报企业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注册所在地城乡建设主管部门。构成犯罪的，依法追究刑事责任。</w:t>
      </w:r>
    </w:p>
    <w:p>
      <w:pPr>
        <w:ind w:right="106" w:firstLine="660"/>
        <w:spacing w:before="52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第十七条各监督管理部门查处的工程造价咨询企业违法违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规行为，应当及时报淮北市住房和城乡建设局将处理结果纳入相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关企业、注册造价工程师信用记录。</w:t>
      </w:r>
    </w:p>
    <w:p>
      <w:pPr>
        <w:ind w:left="664"/>
        <w:spacing w:before="36" w:line="221" w:lineRule="auto"/>
        <w:outlineLvl w:val="6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4"/>
        </w:rPr>
        <w:t>第十八条各监督管理部门有下列情形之一的，由其上级行</w:t>
      </w:r>
    </w:p>
    <w:p>
      <w:pPr>
        <w:spacing w:line="221" w:lineRule="auto"/>
        <w:sectPr>
          <w:footerReference w:type="default" r:id="rId8"/>
          <w:pgSz w:w="11850" w:h="16780"/>
          <w:pgMar w:top="1426" w:right="1389" w:bottom="1546" w:left="1479" w:header="0" w:footer="1229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104" w:right="114"/>
        <w:spacing w:before="104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政主管部门或者监察机关责令改正，对直接负责的主管人员和其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他直接责任人员依法给予处分；构成犯罪的，依法追究刑事责任：</w:t>
      </w:r>
    </w:p>
    <w:p>
      <w:pPr>
        <w:ind w:left="890"/>
        <w:spacing w:before="5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(一)对投诉、举报不依法受理的；</w:t>
      </w:r>
    </w:p>
    <w:p>
      <w:pPr>
        <w:ind w:left="99" w:right="183" w:firstLine="790"/>
        <w:spacing w:before="159" w:line="29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(二)工程造价咨询活动检查过程中，不依法履行商业秘密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保密义务的；</w:t>
      </w:r>
    </w:p>
    <w:p>
      <w:pPr>
        <w:ind w:left="890"/>
        <w:spacing w:before="20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(三)对正常的工程造价咨询活动人为设置不利条件的；</w:t>
      </w:r>
    </w:p>
    <w:p>
      <w:pPr>
        <w:ind w:left="890"/>
        <w:spacing w:before="20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(四)利用职务之便，收取他人财物或者其他好处的；</w:t>
      </w:r>
    </w:p>
    <w:p>
      <w:pPr>
        <w:ind w:left="99" w:right="169" w:firstLine="790"/>
        <w:spacing w:before="208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(五)不依法履行监督管理职责，或者发现违法行为不予查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处的。</w:t>
      </w:r>
    </w:p>
    <w:p>
      <w:pPr>
        <w:pStyle w:val="BodyText"/>
        <w:spacing w:line="333" w:lineRule="auto"/>
        <w:rPr/>
      </w:pPr>
      <w:r/>
    </w:p>
    <w:p>
      <w:pPr>
        <w:pStyle w:val="BodyText"/>
        <w:spacing w:line="334" w:lineRule="auto"/>
        <w:rPr/>
      </w:pPr>
      <w:r/>
    </w:p>
    <w:p>
      <w:pPr>
        <w:ind w:left="3614"/>
        <w:spacing w:before="10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第五章</w:t>
      </w:r>
      <w:r>
        <w:rPr>
          <w:rFonts w:ascii="SimHei" w:hAnsi="SimHei" w:eastAsia="SimHei" w:cs="SimHei"/>
          <w:sz w:val="32"/>
          <w:szCs w:val="32"/>
          <w:spacing w:val="22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附则</w:t>
      </w:r>
    </w:p>
    <w:p>
      <w:pPr>
        <w:ind w:left="789"/>
        <w:spacing w:before="20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第十九条本办法自印发之日起实施，试行期两年。</w:t>
      </w:r>
    </w:p>
    <w:p>
      <w:pPr>
        <w:ind w:left="789"/>
        <w:spacing w:before="20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第二十条本办法由淮北市住房和城乡建设局负责解释。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>
        <w:pict>
          <v:shape id="_x0000_s2" style="position:absolute;margin-left:0.25pt;margin-top:4.31393pt;mso-position-vertical-relative:text;mso-position-horizontal-relative:text;width:460.5pt;height:0.5pt;z-index:251664384;" filled="false" strokecolor="#000000" strokeweight="0.50pt" coordsize="9210,10" coordorigin="0,0" path="m0,5l6119,5m6119,5l9209,5e">
            <v:stroke joinstyle="miter" miterlimit="10"/>
          </v:shape>
        </w:pict>
      </w:r>
      <w:r/>
    </w:p>
    <w:p>
      <w:pPr>
        <w:ind w:left="184"/>
        <w:spacing w:before="95" w:line="226" w:lineRule="auto"/>
        <w:rPr>
          <w:rFonts w:ascii="SimSun" w:hAnsi="SimSun" w:eastAsia="SimSun" w:cs="SimSun"/>
          <w:sz w:val="29"/>
          <w:szCs w:val="29"/>
        </w:rPr>
      </w:pPr>
      <w:r>
        <w:pict>
          <v:shape id="_x0000_s4" style="position:absolute;margin-left:0.25pt;margin-top:24.3828pt;mso-position-vertical-relative:text;mso-position-horizontal-relative:text;width:460.5pt;height:0.5pt;z-index:251665408;" filled="false" strokecolor="#000000" strokeweight="0.50pt" coordsize="9210,10" coordorigin="0,0" path="m0,5l6119,5m6119,5l9209,5e">
            <v:stroke joinstyle="miter" miterlimit="10"/>
          </v:shape>
        </w:pict>
      </w:r>
      <w:r>
        <w:rPr>
          <w:rFonts w:ascii="SimSun" w:hAnsi="SimSun" w:eastAsia="SimSun" w:cs="SimSun"/>
          <w:sz w:val="29"/>
          <w:szCs w:val="29"/>
          <w:b/>
          <w:bCs/>
          <w:spacing w:val="-3"/>
        </w:rPr>
        <w:t>淮北市推进建筑业高质量发展领导小组办公室</w:t>
      </w:r>
      <w:r>
        <w:rPr>
          <w:rFonts w:ascii="SimSun" w:hAnsi="SimSun" w:eastAsia="SimSun" w:cs="SimSun"/>
          <w:sz w:val="29"/>
          <w:szCs w:val="29"/>
          <w:spacing w:val="-3"/>
        </w:rPr>
        <w:t xml:space="preserve">    </w:t>
      </w:r>
      <w:r>
        <w:rPr>
          <w:rFonts w:ascii="SimSun" w:hAnsi="SimSun" w:eastAsia="SimSun" w:cs="SimSun"/>
          <w:sz w:val="29"/>
          <w:szCs w:val="29"/>
          <w:b/>
          <w:bCs/>
          <w:spacing w:val="-3"/>
          <w:position w:val="-1"/>
        </w:rPr>
        <w:t>2024年5月7日印发</w:t>
      </w:r>
    </w:p>
    <w:sectPr>
      <w:footerReference w:type="default" r:id="rId9"/>
      <w:pgSz w:w="11840" w:h="16750"/>
      <w:pgMar w:top="1423" w:right="1089" w:bottom="1502" w:left="1540" w:header="0" w:footer="11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9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—2—</w:t>
    </w:r>
    <w:r>
      <w:rPr>
        <w:rFonts w:ascii="SimSun" w:hAnsi="SimSun" w:eastAsia="SimSun" w:cs="SimSun"/>
        <w:sz w:val="32"/>
        <w:szCs w:val="32"/>
      </w:rPr>
      <w:t xml:space="preserve">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74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b/>
        <w:bCs/>
        <w:spacing w:val="-7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00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—5—</w:t>
    </w:r>
    <w:r>
      <w:rPr>
        <w:rFonts w:ascii="SimSun" w:hAnsi="SimSun" w:eastAsia="SimSun" w:cs="SimSun"/>
        <w:sz w:val="32"/>
        <w:szCs w:val="32"/>
      </w:rPr>
      <w:t xml:space="preserve">  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tabs>
        <w:tab w:val="left" w:pos="123"/>
      </w:tabs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</w:rPr>
      <w:tab/>
    </w:r>
    <w:r>
      <w:rPr>
        <w:rFonts w:ascii="SimSun" w:hAnsi="SimSun" w:eastAsia="SimSun" w:cs="SimSun"/>
        <w:sz w:val="32"/>
        <w:szCs w:val="32"/>
        <w:b/>
        <w:bCs/>
        <w:spacing w:val="-7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79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2024-07-24T10:52:42Z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2024-07-24T10:52:42</vt:filetime>
  </property>
  <property fmtid="{D5CDD505-2E9C-101B-9397-08002B2CF9AE}" pid="4" name="UsrData">
    <vt:lpwstr>66a06c766aa3da001f60072fwl</vt:lpwstr>
  </property>
</Properties>
</file>